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นักบัญชี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สถานที่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สำนักงานกรุงเทพฯ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หรือทำงานทางไกล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แบบผสมผสานตามข้อตกลง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ประเภทการจ้างงาน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เต็มเวลา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ประจำ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หน้าที่ความรับผิดชอบ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บัญชีบริษัท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การลงรายการบัญชี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การกระทบยอด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การบันทึกบัญชีคงค้าง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การบัญชีต้นทุนและรายได้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การจัดทำงบการเงิน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รายงานรายเดือน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รายไตรมาส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และรายปี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การตรวจสอบบัญชีลูกหนี้และเจ้าหนี้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การชำระเงิน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และธุรกรรมเงินสด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การทำงานกับใบแจ้งยอดธนาคาร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การกระทบยอด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และการบัญชีกระแสเงินสด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การสนับสนุนการตรวจสอบบัญชี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การจัดทำเอกสาร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การตอบคำถาม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การจัดการเอกสาร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การบัญชีสินทรัพย์ถาวร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และสินค้าคงคลัง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หากจำเป็น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มีส่วนร่วมในระบบอัตโนมัติของกระบวนการบัญชีและการใช้ซอฟต์แวร์บัญชี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การทำงานร่วมกับแผนกอื่นๆ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จัดซื้อ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โลจิสติกส์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ทรัพยากรบุคคล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การเงิน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คุณสมบัติ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วุฒิการศึกษาขั้นสูงในสาขาบัญชี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การเงิน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หรือสาขาที่เกี่ยวข้อง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ประสบการณ์ด้านบัญชีอย่างน้อย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5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ความรู้เกี่ยวกับมาตรฐานการบัญชีและกฎหมายภาษีอากรของไทย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ความเชี่ยวชาญในซอฟต์แวร์บัญชี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เช่น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SAP, Oracle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หรือระบบที่นิยมใช้ในท้องถิ่น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ทักษะการใช้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Excel/Google Sheets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การรายงาน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และการวิเคราะห์ข้อมูล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elawadee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